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39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9"/>
        <w:gridCol w:w="5152"/>
      </w:tblGrid>
      <w:tr w:rsidR="00EB5F25" w:rsidRPr="00EB5F25" w14:paraId="098428B5" w14:textId="77777777">
        <w:trPr>
          <w:trHeight w:val="209"/>
        </w:trPr>
        <w:tc>
          <w:tcPr>
            <w:tcW w:w="1500" w:type="pct"/>
            <w:tcBorders>
              <w:top w:val="single" w:sz="8" w:space="0" w:color="AFAFAF"/>
              <w:left w:val="single" w:sz="8" w:space="0" w:color="AFAFAF"/>
              <w:bottom w:val="single" w:sz="8" w:space="0" w:color="AFAFAF"/>
              <w:right w:val="single" w:sz="8" w:space="0" w:color="AFAFAF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14:paraId="48CBAEC2" w14:textId="77777777" w:rsidR="00EB5F25" w:rsidRPr="00EB5F25" w:rsidRDefault="00EB5F25" w:rsidP="00EB5F25">
            <w:r w:rsidRPr="00EB5F25">
              <w:rPr>
                <w:b/>
                <w:bCs/>
              </w:rPr>
              <w:t>Artículo</w:t>
            </w:r>
          </w:p>
        </w:tc>
        <w:tc>
          <w:tcPr>
            <w:tcW w:w="3450" w:type="pct"/>
            <w:tcBorders>
              <w:top w:val="single" w:sz="8" w:space="0" w:color="AFAFAF"/>
              <w:left w:val="nil"/>
              <w:bottom w:val="single" w:sz="8" w:space="0" w:color="AFAFAF"/>
              <w:right w:val="single" w:sz="8" w:space="0" w:color="AFAFAF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14:paraId="48FC137B" w14:textId="77777777" w:rsidR="00EB5F25" w:rsidRPr="00EB5F25" w:rsidRDefault="00EB5F25" w:rsidP="00EB5F25">
            <w:r w:rsidRPr="00EB5F25">
              <w:rPr>
                <w:b/>
                <w:bCs/>
              </w:rPr>
              <w:t>Requisitos</w:t>
            </w:r>
          </w:p>
        </w:tc>
      </w:tr>
      <w:tr w:rsidR="00EB5F25" w:rsidRPr="00EB5F25" w14:paraId="123456C5" w14:textId="77777777">
        <w:trPr>
          <w:trHeight w:val="276"/>
        </w:trPr>
        <w:tc>
          <w:tcPr>
            <w:tcW w:w="1500" w:type="pct"/>
            <w:tcBorders>
              <w:top w:val="nil"/>
              <w:left w:val="single" w:sz="8" w:space="0" w:color="AFAFAF"/>
              <w:bottom w:val="single" w:sz="8" w:space="0" w:color="AFAFAF"/>
              <w:right w:val="single" w:sz="8" w:space="0" w:color="AFAFAF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14:paraId="2E1A651F" w14:textId="77777777" w:rsidR="00EB5F25" w:rsidRPr="00EB5F25" w:rsidRDefault="00EB5F25" w:rsidP="00EB5F25">
            <w:r w:rsidRPr="00EB5F25">
              <w:t>Sistema operativo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FAFAF"/>
              <w:right w:val="single" w:sz="8" w:space="0" w:color="AFAFAF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14:paraId="45A62709" w14:textId="77777777" w:rsidR="00EB5F25" w:rsidRPr="00EB5F25" w:rsidRDefault="00EB5F25" w:rsidP="00EB5F25">
            <w:r w:rsidRPr="00EB5F25">
              <w:t>Windows 10 Professional (64 bits) o posterior</w:t>
            </w:r>
          </w:p>
        </w:tc>
      </w:tr>
      <w:tr w:rsidR="00EB5F25" w:rsidRPr="00EB5F25" w14:paraId="38963E5A" w14:textId="77777777">
        <w:trPr>
          <w:trHeight w:val="210"/>
        </w:trPr>
        <w:tc>
          <w:tcPr>
            <w:tcW w:w="1500" w:type="pct"/>
            <w:tcBorders>
              <w:top w:val="nil"/>
              <w:left w:val="single" w:sz="8" w:space="0" w:color="AFAFAF"/>
              <w:bottom w:val="single" w:sz="8" w:space="0" w:color="AFAFAF"/>
              <w:right w:val="single" w:sz="8" w:space="0" w:color="AFAFAF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14:paraId="7CF17684" w14:textId="77777777" w:rsidR="00EB5F25" w:rsidRPr="00EB5F25" w:rsidRDefault="00EB5F25" w:rsidP="00EB5F25">
            <w:r w:rsidRPr="00EB5F25">
              <w:t>Memoria (RAM)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FAFAF"/>
              <w:right w:val="single" w:sz="8" w:space="0" w:color="AFAFAF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14:paraId="565C9392" w14:textId="77777777" w:rsidR="00EB5F25" w:rsidRPr="00EB5F25" w:rsidRDefault="00EB5F25" w:rsidP="00EB5F25">
            <w:r w:rsidRPr="00EB5F25">
              <w:t>32 GB o más</w:t>
            </w:r>
          </w:p>
        </w:tc>
      </w:tr>
      <w:tr w:rsidR="00EB5F25" w:rsidRPr="00EB5F25" w14:paraId="41673A37" w14:textId="77777777">
        <w:trPr>
          <w:trHeight w:val="35"/>
        </w:trPr>
        <w:tc>
          <w:tcPr>
            <w:tcW w:w="1500" w:type="pct"/>
            <w:tcBorders>
              <w:top w:val="nil"/>
              <w:left w:val="single" w:sz="8" w:space="0" w:color="AFAFAF"/>
              <w:bottom w:val="single" w:sz="8" w:space="0" w:color="AFAFAF"/>
              <w:right w:val="single" w:sz="8" w:space="0" w:color="AFAFAF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14:paraId="76E2D543" w14:textId="77777777" w:rsidR="00EB5F25" w:rsidRPr="00EB5F25" w:rsidRDefault="00EB5F25" w:rsidP="00EB5F25">
            <w:r w:rsidRPr="00EB5F25">
              <w:t>Tarjeta gráfica</w:t>
            </w:r>
          </w:p>
          <w:p w14:paraId="771C71FC" w14:textId="77777777" w:rsidR="00EB5F25" w:rsidRPr="00EB5F25" w:rsidRDefault="00EB5F25" w:rsidP="00EB5F25">
            <w:r w:rsidRPr="00EB5F25">
              <w:t>(Solo NVIDIA)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FAFAF"/>
              <w:right w:val="single" w:sz="8" w:space="0" w:color="AFAFAF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14:paraId="194DBA20" w14:textId="77777777" w:rsidR="00EB5F25" w:rsidRPr="00EB5F25" w:rsidRDefault="00EB5F25" w:rsidP="00EB5F25">
            <w:r w:rsidRPr="00EB5F25">
              <w:t>NVIDIA GeForce 3060 o superior (RTX 4060 o superior)</w:t>
            </w:r>
          </w:p>
          <w:p w14:paraId="55EA0E8D" w14:textId="77777777" w:rsidR="00EB5F25" w:rsidRPr="00EB5F25" w:rsidRDefault="00EB5F25" w:rsidP="00EB5F25">
            <w:r w:rsidRPr="00EB5F25">
              <w:rPr>
                <w:b/>
                <w:bCs/>
              </w:rPr>
              <w:t>Y sin incluir las RTX 3050, 4050 y 5050.</w:t>
            </w:r>
          </w:p>
          <w:p w14:paraId="0F3D2884" w14:textId="77777777" w:rsidR="00EB5F25" w:rsidRPr="00EB5F25" w:rsidRDefault="00EB5F25" w:rsidP="00EB5F25">
            <w:r w:rsidRPr="00EB5F25">
              <w:t>Las tarjetas gráficas AMD no son compatibles.</w:t>
            </w:r>
          </w:p>
          <w:p w14:paraId="38481C02" w14:textId="77777777" w:rsidR="00EB5F25" w:rsidRPr="00EB5F25" w:rsidRDefault="00EB5F25" w:rsidP="00EB5F25">
            <w:hyperlink r:id="rId5" w:tgtFrame="_blank" w:history="1">
              <w:r w:rsidRPr="00EB5F25">
                <w:rPr>
                  <w:rStyle w:val="Hipervnculo"/>
                  <w:b/>
                  <w:bCs/>
                </w:rPr>
                <w:t>Para la serie RTX 50, haga clic aquí para consultar los detalles.</w:t>
              </w:r>
            </w:hyperlink>
          </w:p>
        </w:tc>
      </w:tr>
      <w:tr w:rsidR="00EB5F25" w:rsidRPr="00EB5F25" w14:paraId="6055A327" w14:textId="77777777">
        <w:trPr>
          <w:trHeight w:val="587"/>
        </w:trPr>
        <w:tc>
          <w:tcPr>
            <w:tcW w:w="1500" w:type="pct"/>
            <w:tcBorders>
              <w:top w:val="nil"/>
              <w:left w:val="single" w:sz="8" w:space="0" w:color="AFAFAF"/>
              <w:bottom w:val="single" w:sz="8" w:space="0" w:color="AFAFAF"/>
              <w:right w:val="single" w:sz="8" w:space="0" w:color="AFAFAF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14:paraId="30312061" w14:textId="77777777" w:rsidR="00EB5F25" w:rsidRPr="00EB5F25" w:rsidRDefault="00EB5F25" w:rsidP="00EB5F25">
            <w:r w:rsidRPr="00EB5F25">
              <w:t>UPC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FAFAF"/>
              <w:right w:val="single" w:sz="8" w:space="0" w:color="AFAFAF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14:paraId="67B3FF41" w14:textId="77777777" w:rsidR="00EB5F25" w:rsidRPr="00EB5F25" w:rsidRDefault="00EB5F25" w:rsidP="00EB5F25">
            <w:r w:rsidRPr="00EB5F25">
              <w:t>Intel® Core™ i7-8700 o superior.</w:t>
            </w:r>
          </w:p>
          <w:p w14:paraId="7F544E88" w14:textId="77777777" w:rsidR="00EB5F25" w:rsidRPr="00EB5F25" w:rsidRDefault="00EB5F25" w:rsidP="00EB5F25">
            <w:r w:rsidRPr="00EB5F25">
              <w:rPr>
                <w:b/>
                <w:bCs/>
              </w:rPr>
              <w:t>No se puede utilizar el procesador Intel(R) Core(TM) 7 240H de 2,50 GHz (NO compatible con la 5060).</w:t>
            </w:r>
          </w:p>
        </w:tc>
      </w:tr>
      <w:tr w:rsidR="00EB5F25" w:rsidRPr="00EB5F25" w14:paraId="2D0AFE13" w14:textId="77777777">
        <w:trPr>
          <w:trHeight w:val="292"/>
        </w:trPr>
        <w:tc>
          <w:tcPr>
            <w:tcW w:w="1500" w:type="pct"/>
            <w:tcBorders>
              <w:top w:val="nil"/>
              <w:left w:val="single" w:sz="8" w:space="0" w:color="AFAFAF"/>
              <w:bottom w:val="single" w:sz="8" w:space="0" w:color="AFAFAF"/>
              <w:right w:val="single" w:sz="8" w:space="0" w:color="AFAFAF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14:paraId="5060F0CD" w14:textId="77777777" w:rsidR="00EB5F25" w:rsidRPr="00EB5F25" w:rsidRDefault="00EB5F25" w:rsidP="00EB5F25">
            <w:r w:rsidRPr="00EB5F25">
              <w:t>Disco duro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FAFAF"/>
              <w:right w:val="single" w:sz="8" w:space="0" w:color="AFAFAF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14:paraId="3202B5F3" w14:textId="77777777" w:rsidR="00EB5F25" w:rsidRPr="00EB5F25" w:rsidRDefault="00EB5F25" w:rsidP="00EB5F25">
            <w:r w:rsidRPr="00EB5F25">
              <w:t>SSD de 256 GB o superior</w:t>
            </w:r>
          </w:p>
        </w:tc>
      </w:tr>
      <w:tr w:rsidR="00EB5F25" w:rsidRPr="00EB5F25" w14:paraId="69137981" w14:textId="77777777">
        <w:trPr>
          <w:trHeight w:val="1205"/>
        </w:trPr>
        <w:tc>
          <w:tcPr>
            <w:tcW w:w="1500" w:type="pct"/>
            <w:tcBorders>
              <w:top w:val="nil"/>
              <w:left w:val="single" w:sz="8" w:space="0" w:color="AFAFAF"/>
              <w:bottom w:val="single" w:sz="8" w:space="0" w:color="AFAFAF"/>
              <w:right w:val="single" w:sz="8" w:space="0" w:color="AFAFAF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14:paraId="19C1EDBB" w14:textId="77777777" w:rsidR="00EB5F25" w:rsidRPr="00EB5F25" w:rsidRDefault="00EB5F25" w:rsidP="00EB5F25">
            <w:r w:rsidRPr="00EB5F25">
              <w:t>Espacio disponible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FAFAF"/>
              <w:right w:val="single" w:sz="8" w:space="0" w:color="AFAFAF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14:paraId="3FC9D5B5" w14:textId="77777777" w:rsidR="00EB5F25" w:rsidRPr="00EB5F25" w:rsidRDefault="00EB5F25" w:rsidP="00EB5F25">
            <w:pPr>
              <w:numPr>
                <w:ilvl w:val="0"/>
                <w:numId w:val="1"/>
              </w:numPr>
            </w:pPr>
            <w:r w:rsidRPr="00EB5F25">
              <w:t>Ubicación de instalación del software con un espacio disponible mínimo de 8 GB</w:t>
            </w:r>
          </w:p>
          <w:p w14:paraId="3D185220" w14:textId="77777777" w:rsidR="00EB5F25" w:rsidRPr="00EB5F25" w:rsidRDefault="00EB5F25" w:rsidP="00EB5F25">
            <w:pPr>
              <w:numPr>
                <w:ilvl w:val="0"/>
                <w:numId w:val="1"/>
              </w:numPr>
            </w:pPr>
            <w:r w:rsidRPr="00EB5F25">
              <w:t>Solicita una ubicación de almacenamiento con un espacio disponible mínimo de 20 GB.</w:t>
            </w:r>
          </w:p>
        </w:tc>
      </w:tr>
      <w:tr w:rsidR="00EB5F25" w:rsidRPr="00EB5F25" w14:paraId="3FAA5C18" w14:textId="77777777">
        <w:trPr>
          <w:trHeight w:val="217"/>
        </w:trPr>
        <w:tc>
          <w:tcPr>
            <w:tcW w:w="1500" w:type="pct"/>
            <w:tcBorders>
              <w:top w:val="nil"/>
              <w:left w:val="single" w:sz="8" w:space="0" w:color="AFAFAF"/>
              <w:bottom w:val="single" w:sz="8" w:space="0" w:color="AFAFAF"/>
              <w:right w:val="single" w:sz="8" w:space="0" w:color="AFAFAF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14:paraId="2B292893" w14:textId="77777777" w:rsidR="00EB5F25" w:rsidRPr="00EB5F25" w:rsidRDefault="00EB5F25" w:rsidP="00EB5F25">
            <w:r w:rsidRPr="00EB5F25">
              <w:t>Resolución de pantalla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FAFAF"/>
              <w:right w:val="single" w:sz="8" w:space="0" w:color="AFAFAF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14:paraId="650659A8" w14:textId="77777777" w:rsidR="00EB5F25" w:rsidRPr="00EB5F25" w:rsidRDefault="00EB5F25" w:rsidP="00EB5F25">
            <w:r w:rsidRPr="00EB5F25">
              <w:t>1920 x 1080 o superior</w:t>
            </w:r>
          </w:p>
        </w:tc>
      </w:tr>
      <w:tr w:rsidR="00EB5F25" w:rsidRPr="00EB5F25" w14:paraId="62F92F90" w14:textId="77777777">
        <w:trPr>
          <w:trHeight w:val="292"/>
        </w:trPr>
        <w:tc>
          <w:tcPr>
            <w:tcW w:w="1500" w:type="pct"/>
            <w:tcBorders>
              <w:top w:val="nil"/>
              <w:left w:val="single" w:sz="8" w:space="0" w:color="AFAFAF"/>
              <w:bottom w:val="single" w:sz="8" w:space="0" w:color="AFAFAF"/>
              <w:right w:val="single" w:sz="8" w:space="0" w:color="AFAFAF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14:paraId="059BEB4D" w14:textId="77777777" w:rsidR="00EB5F25" w:rsidRPr="00EB5F25" w:rsidRDefault="00EB5F25" w:rsidP="00EB5F25">
            <w:r w:rsidRPr="00EB5F25">
              <w:t>Puertos de E/S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FAFAF"/>
              <w:right w:val="single" w:sz="8" w:space="0" w:color="AFAFAF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14:paraId="499E8FA3" w14:textId="77777777" w:rsidR="00EB5F25" w:rsidRPr="00EB5F25" w:rsidRDefault="00EB5F25" w:rsidP="00EB5F25">
            <w:r w:rsidRPr="00EB5F25">
              <w:t>Más de 1 puerto USB 3.0 tipo A y 1 puerto USB 3.0 tipo C</w:t>
            </w:r>
          </w:p>
        </w:tc>
      </w:tr>
      <w:tr w:rsidR="00EB5F25" w:rsidRPr="00EB5F25" w14:paraId="2E34717D" w14:textId="77777777">
        <w:trPr>
          <w:trHeight w:val="212"/>
        </w:trPr>
        <w:tc>
          <w:tcPr>
            <w:tcW w:w="1500" w:type="pct"/>
            <w:tcBorders>
              <w:top w:val="nil"/>
              <w:left w:val="single" w:sz="8" w:space="0" w:color="AFAFAF"/>
              <w:bottom w:val="single" w:sz="8" w:space="0" w:color="AFAFAF"/>
              <w:right w:val="single" w:sz="8" w:space="0" w:color="AFAFAF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14:paraId="0CA28EDE" w14:textId="77777777" w:rsidR="00EB5F25" w:rsidRPr="00EB5F25" w:rsidRDefault="00EB5F25" w:rsidP="00EB5F25">
            <w:r w:rsidRPr="00EB5F25">
              <w:t>Fuente de alimentación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FAFAF"/>
              <w:right w:val="single" w:sz="8" w:space="0" w:color="AFAFAF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14:paraId="534F8F2C" w14:textId="77777777" w:rsidR="00EB5F25" w:rsidRPr="00EB5F25" w:rsidRDefault="00EB5F25" w:rsidP="00EB5F25">
            <w:r w:rsidRPr="00EB5F25">
              <w:t>Entrada de CA: 100-240 V </w:t>
            </w:r>
            <w:r w:rsidRPr="00EB5F25">
              <w:rPr>
                <w:rFonts w:ascii="MS Gothic" w:eastAsia="MS Gothic" w:hAnsi="MS Gothic" w:cs="MS Gothic" w:hint="eastAsia"/>
                <w:lang w:val="en-US"/>
              </w:rPr>
              <w:t>～</w:t>
            </w:r>
            <w:r w:rsidRPr="00EB5F25">
              <w:t> 50/60 Hz , 1,0 A</w:t>
            </w:r>
          </w:p>
        </w:tc>
      </w:tr>
    </w:tbl>
    <w:p w14:paraId="0EDC1C8C" w14:textId="77777777" w:rsidR="001678AF" w:rsidRDefault="001678AF"/>
    <w:p w14:paraId="33918E0D" w14:textId="29B946DD" w:rsidR="00AB5E66" w:rsidRDefault="00AB5E66">
      <w:r w:rsidRPr="00AB5E66">
        <w:rPr>
          <w:b/>
          <w:bCs/>
        </w:rPr>
        <w:t>Se recomienda usar una interfaz USB-C con un puerto Thunderbolt para la conexión o cualquier otro puerto que pueda proporcionar una potencia de carga de 15 W (concentrador autoalimentado). ——(Para MAC y WINDOWS)</w:t>
      </w:r>
    </w:p>
    <w:sectPr w:rsidR="00AB5E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A70B37"/>
    <w:multiLevelType w:val="multilevel"/>
    <w:tmpl w:val="F3801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38397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F25"/>
    <w:rsid w:val="001678AF"/>
    <w:rsid w:val="003D163E"/>
    <w:rsid w:val="005557DD"/>
    <w:rsid w:val="00AB5E66"/>
    <w:rsid w:val="00B1693D"/>
    <w:rsid w:val="00BF2F45"/>
    <w:rsid w:val="00EB5F25"/>
    <w:rsid w:val="00F3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164BC"/>
  <w15:chartTrackingRefBased/>
  <w15:docId w15:val="{E54C0304-12A5-408B-BBA9-0F4BA3D8E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B5F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B5F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B5F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B5F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B5F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B5F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B5F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B5F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B5F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B5F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B5F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B5F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B5F2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B5F2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B5F2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B5F2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B5F2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B5F2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B5F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B5F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B5F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B5F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B5F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B5F2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B5F2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B5F2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B5F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B5F2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B5F25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EB5F2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B5F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upport.shining3ddental.com/en/support/solutions/articles/60001584992-solution-for-using-software-with-nvidia-geforce-rtx-50-series-graphics-card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Nacex</dc:creator>
  <cp:keywords/>
  <dc:description/>
  <cp:lastModifiedBy>Nacex</cp:lastModifiedBy>
  <cp:revision>2</cp:revision>
  <dcterms:created xsi:type="dcterms:W3CDTF">2025-12-09T06:55:00Z</dcterms:created>
  <dcterms:modified xsi:type="dcterms:W3CDTF">2025-12-09T06:59:00Z</dcterms:modified>
</cp:coreProperties>
</file>